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0BD65" w14:textId="364259DE" w:rsidR="00987B0B" w:rsidRDefault="00C03DD5" w:rsidP="00BF3853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11500" w:type="dxa"/>
        <w:tblLook w:val="04A0" w:firstRow="1" w:lastRow="0" w:firstColumn="1" w:lastColumn="0" w:noHBand="0" w:noVBand="1"/>
      </w:tblPr>
      <w:tblGrid>
        <w:gridCol w:w="6240"/>
        <w:gridCol w:w="5260"/>
      </w:tblGrid>
      <w:tr w:rsidR="00C81C96" w14:paraId="7D091EA4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033C" w14:textId="734BFD7D" w:rsidR="00C81C96" w:rsidRPr="00533D0D" w:rsidRDefault="00D114C8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</w:t>
            </w:r>
            <w:proofErr w:type="spellStart"/>
            <w:r w:rsidR="00C81C96">
              <w:rPr>
                <w:color w:val="000000"/>
              </w:rPr>
              <w:t>одаток</w:t>
            </w:r>
            <w:proofErr w:type="spellEnd"/>
            <w:r w:rsidR="00C81C96">
              <w:rPr>
                <w:color w:val="000000"/>
              </w:rPr>
              <w:t xml:space="preserve"> </w:t>
            </w:r>
            <w:r w:rsidR="00533D0D">
              <w:rPr>
                <w:color w:val="000000"/>
                <w:lang w:val="uk-UA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FB85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Затверджено</w:t>
            </w:r>
            <w:proofErr w:type="spellEnd"/>
          </w:p>
        </w:tc>
      </w:tr>
      <w:tr w:rsidR="00C81C96" w14:paraId="05121DE5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6732" w14:textId="77777777" w:rsidR="00C81C96" w:rsidRDefault="00C81C9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proofErr w:type="spellStart"/>
            <w:r>
              <w:rPr>
                <w:color w:val="000000"/>
              </w:rPr>
              <w:t>рішення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виконавчого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комітету</w:t>
            </w:r>
            <w:proofErr w:type="spellEnd"/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DF7A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рішенням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виконавчого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комітету</w:t>
            </w:r>
            <w:proofErr w:type="spellEnd"/>
          </w:p>
        </w:tc>
      </w:tr>
      <w:tr w:rsidR="00C81C96" w14:paraId="697099BB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941D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Городоцької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DFAB" w14:textId="77777777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Городоцької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міської</w:t>
            </w:r>
            <w:proofErr w:type="spellEnd"/>
            <w:r>
              <w:rPr>
                <w:color w:val="000000"/>
              </w:rPr>
              <w:t xml:space="preserve"> ради</w:t>
            </w:r>
          </w:p>
        </w:tc>
      </w:tr>
      <w:tr w:rsidR="00C81C96" w14:paraId="2E809429" w14:textId="77777777" w:rsidTr="00C81C96">
        <w:trPr>
          <w:trHeight w:val="312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8975" w14:textId="7EE4E98C" w:rsidR="00C81C96" w:rsidRPr="00730E06" w:rsidRDefault="00C81C9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"</w:t>
            </w:r>
            <w:r w:rsidR="00730E06">
              <w:rPr>
                <w:color w:val="000000"/>
                <w:lang w:val="uk-UA"/>
              </w:rPr>
              <w:t>23</w:t>
            </w:r>
            <w:r>
              <w:rPr>
                <w:color w:val="000000"/>
              </w:rPr>
              <w:t xml:space="preserve">" </w:t>
            </w:r>
            <w:r w:rsidR="00730E06">
              <w:rPr>
                <w:color w:val="000000"/>
                <w:lang w:val="uk-UA"/>
              </w:rPr>
              <w:t xml:space="preserve">лютого </w:t>
            </w:r>
            <w:proofErr w:type="gramStart"/>
            <w:r w:rsidR="00730E06">
              <w:rPr>
                <w:color w:val="000000"/>
                <w:lang w:val="uk-UA"/>
              </w:rPr>
              <w:t xml:space="preserve">2023 </w:t>
            </w:r>
            <w:r>
              <w:rPr>
                <w:color w:val="000000"/>
              </w:rPr>
              <w:t xml:space="preserve"> №</w:t>
            </w:r>
            <w:proofErr w:type="gramEnd"/>
            <w:r w:rsidR="00730E06">
              <w:rPr>
                <w:color w:val="000000"/>
                <w:lang w:val="uk-UA"/>
              </w:rPr>
              <w:t xml:space="preserve"> 21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FDE9" w14:textId="1584241D" w:rsidR="00C81C96" w:rsidRDefault="00C81C9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</w:t>
            </w:r>
            <w:r w:rsidR="00730E06">
              <w:rPr>
                <w:color w:val="000000"/>
                <w:lang w:val="uk-UA"/>
              </w:rPr>
              <w:t>«23»</w:t>
            </w: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  <w:r w:rsidR="00730E06">
              <w:rPr>
                <w:color w:val="000000"/>
                <w:lang w:val="uk-UA"/>
              </w:rPr>
              <w:t>лютого</w:t>
            </w:r>
            <w:r>
              <w:rPr>
                <w:color w:val="000000"/>
              </w:rPr>
              <w:t xml:space="preserve"> №_</w:t>
            </w:r>
            <w:r w:rsidR="00730E06">
              <w:rPr>
                <w:color w:val="000000"/>
                <w:lang w:val="uk-UA"/>
              </w:rPr>
              <w:t>21</w:t>
            </w:r>
            <w:r>
              <w:rPr>
                <w:color w:val="000000"/>
              </w:rPr>
              <w:t>_</w:t>
            </w:r>
          </w:p>
        </w:tc>
      </w:tr>
    </w:tbl>
    <w:p w14:paraId="68FE7AF7" w14:textId="77777777" w:rsidR="00C81C96" w:rsidRDefault="00C81C96" w:rsidP="00BF3853">
      <w:pPr>
        <w:ind w:firstLine="720"/>
        <w:jc w:val="both"/>
        <w:rPr>
          <w:b/>
          <w:sz w:val="28"/>
          <w:szCs w:val="28"/>
        </w:rPr>
      </w:pPr>
    </w:p>
    <w:p w14:paraId="4DA21B01" w14:textId="77777777" w:rsidR="00C81C96" w:rsidRDefault="00C81C96" w:rsidP="00C81C9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Порядок </w:t>
      </w:r>
    </w:p>
    <w:p w14:paraId="42BCAC2B" w14:textId="3A06519D" w:rsidR="003F5172" w:rsidRDefault="00533D0D" w:rsidP="00C81C96">
      <w:pPr>
        <w:jc w:val="center"/>
        <w:rPr>
          <w:kern w:val="36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Порядок здійснення </w:t>
      </w:r>
      <w:r>
        <w:rPr>
          <w:kern w:val="36"/>
          <w:sz w:val="28"/>
          <w:szCs w:val="28"/>
          <w:lang w:val="uk-UA"/>
        </w:rPr>
        <w:t>компенсаційних виплат за пільговий проїзд окремих  категорій громадян   приміським, міжміським та міським автомобільним транспортом загального користування</w:t>
      </w:r>
    </w:p>
    <w:p w14:paraId="34733A49" w14:textId="5A347387" w:rsidR="003F5172" w:rsidRPr="00533D0D" w:rsidRDefault="003F5172" w:rsidP="00533D0D">
      <w:pPr>
        <w:jc w:val="both"/>
        <w:rPr>
          <w:kern w:val="3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Цей Порядок визначає механізм </w:t>
      </w:r>
      <w:r>
        <w:rPr>
          <w:bCs/>
          <w:sz w:val="28"/>
          <w:szCs w:val="28"/>
          <w:lang w:val="uk-UA"/>
        </w:rPr>
        <w:t>здійснення компенсаційних виплат за пільговий проїзд окремих категорій  громадян</w:t>
      </w:r>
      <w:r>
        <w:rPr>
          <w:bCs/>
          <w:sz w:val="28"/>
          <w:szCs w:val="28"/>
        </w:rPr>
        <w:t> </w:t>
      </w:r>
      <w:r w:rsidR="00533D0D">
        <w:rPr>
          <w:kern w:val="36"/>
          <w:sz w:val="28"/>
          <w:szCs w:val="28"/>
          <w:lang w:val="uk-UA"/>
        </w:rPr>
        <w:t xml:space="preserve">приміським, міжміським та міським автомобільним транспортом загального користування </w:t>
      </w:r>
      <w:r>
        <w:rPr>
          <w:sz w:val="28"/>
          <w:szCs w:val="28"/>
          <w:lang w:val="uk-UA"/>
        </w:rPr>
        <w:t>(далі– компенсаційні виплати) за рахунок та в межах коштів місцевого бюджету, передбачених на зазначені цілі (далі - Порядок).</w:t>
      </w:r>
    </w:p>
    <w:p w14:paraId="438FC9C7" w14:textId="77EE3D26" w:rsidR="003F5172" w:rsidRDefault="003F5172" w:rsidP="00DE74FE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Законодавчою та нормативною основою Порядку є</w:t>
      </w:r>
      <w:r w:rsidR="008F0153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14:paraId="51A95E2F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6" w:history="1"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Бюджетний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кодекс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</w:hyperlink>
    </w:p>
    <w:p w14:paraId="698F1EEB" w14:textId="77777777" w:rsidR="00533D0D" w:rsidRPr="008F0153" w:rsidRDefault="00533D0D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r w:rsidRPr="008F0153">
        <w:rPr>
          <w:color w:val="202122"/>
          <w:sz w:val="28"/>
          <w:szCs w:val="28"/>
          <w:lang w:val="uk-UA"/>
        </w:rPr>
        <w:t>Закон України «Про місцеве самоврядування в Україні»</w:t>
      </w:r>
    </w:p>
    <w:p w14:paraId="32A20227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7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автомобільний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транспорт»</w:t>
        </w:r>
      </w:hyperlink>
    </w:p>
    <w:p w14:paraId="0C395169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8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статус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ветеранів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війни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,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гарантії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їх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соціального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захисту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0DF4E850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9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статус і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соціальний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захист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громадян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,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які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постраждали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внаслідок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Чорнобильської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катастрофи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0780FD43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0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основи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соціальної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захищеності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осіб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з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інвалідністю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в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Україні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7A80AFA7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1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соціальний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і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правовий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захист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військовослужбовців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та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членів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їх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сімей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35DFA257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2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реабілітацію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жертв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репресій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комуністичного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тоталітарного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режиму 1917-1991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років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5F63A311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3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охорону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дитинства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0C73BD9D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4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Закон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«Про статус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ветеранів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військової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служби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,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ветеранів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органів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внутрішніх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справ,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ветеранів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Національної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поліції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і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деяких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інших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осіб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та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їх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соціальний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захист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4F3DDBDE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5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Постанова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Кабінету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Міністрів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від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17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травня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1993 року № 354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безплатний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проїзд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пенсіонерів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на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транспорті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загального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користування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1328B775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6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Постанова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Кабінету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Міністрів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від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16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серпня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1994 року N 555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поширення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чинності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постанови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Кабінету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Міністрів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від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17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травня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1993 року № 354»</w:t>
        </w:r>
      </w:hyperlink>
    </w:p>
    <w:p w14:paraId="1C12B4E2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7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Постанова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Кабінету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Міністрів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від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05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квітня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1994 № 226 «Про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поліпшення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виховання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,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навчання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,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соціального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захисту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та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матеріального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забезпечення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дітей-сиріт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і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дітей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,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позбавлених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батьківського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піклування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>»</w:t>
        </w:r>
      </w:hyperlink>
    </w:p>
    <w:p w14:paraId="14B2107B" w14:textId="77777777" w:rsidR="00533D0D" w:rsidRPr="008F0153" w:rsidRDefault="00730E06" w:rsidP="00533D0D">
      <w:pPr>
        <w:numPr>
          <w:ilvl w:val="0"/>
          <w:numId w:val="8"/>
        </w:numPr>
        <w:shd w:val="clear" w:color="auto" w:fill="FFFFFF"/>
        <w:spacing w:before="100" w:beforeAutospacing="1" w:after="24"/>
        <w:ind w:left="1104"/>
        <w:jc w:val="both"/>
        <w:rPr>
          <w:color w:val="202122"/>
          <w:sz w:val="28"/>
          <w:szCs w:val="28"/>
        </w:rPr>
      </w:pPr>
      <w:hyperlink r:id="rId18" w:history="1">
        <w:r w:rsidR="00533D0D" w:rsidRPr="008F0153">
          <w:rPr>
            <w:rStyle w:val="a7"/>
            <w:color w:val="3366BB"/>
            <w:sz w:val="28"/>
            <w:szCs w:val="28"/>
          </w:rPr>
          <w:t xml:space="preserve">Постанова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Кабінету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Міністрів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України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від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18 лютого 1997 № 176 «Про </w:t>
        </w:r>
        <w:proofErr w:type="spellStart"/>
        <w:proofErr w:type="gramStart"/>
        <w:r w:rsidR="00533D0D" w:rsidRPr="008F0153">
          <w:rPr>
            <w:rStyle w:val="a7"/>
            <w:color w:val="3366BB"/>
            <w:sz w:val="28"/>
            <w:szCs w:val="28"/>
          </w:rPr>
          <w:t>затвердження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Правил</w:t>
        </w:r>
        <w:proofErr w:type="gram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надання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послуг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пасажирського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</w:t>
        </w:r>
        <w:proofErr w:type="spellStart"/>
        <w:r w:rsidR="00533D0D" w:rsidRPr="008F0153">
          <w:rPr>
            <w:rStyle w:val="a7"/>
            <w:color w:val="3366BB"/>
            <w:sz w:val="28"/>
            <w:szCs w:val="28"/>
          </w:rPr>
          <w:t>автомобільного</w:t>
        </w:r>
        <w:proofErr w:type="spellEnd"/>
        <w:r w:rsidR="00533D0D" w:rsidRPr="008F0153">
          <w:rPr>
            <w:rStyle w:val="a7"/>
            <w:color w:val="3366BB"/>
            <w:sz w:val="28"/>
            <w:szCs w:val="28"/>
          </w:rPr>
          <w:t xml:space="preserve"> транспорту»</w:t>
        </w:r>
      </w:hyperlink>
    </w:p>
    <w:p w14:paraId="0E2EF203" w14:textId="77777777" w:rsidR="00533D0D" w:rsidRPr="008F0153" w:rsidRDefault="00533D0D" w:rsidP="00533D0D">
      <w:pPr>
        <w:pStyle w:val="a4"/>
        <w:numPr>
          <w:ilvl w:val="0"/>
          <w:numId w:val="8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8F0153">
        <w:rPr>
          <w:sz w:val="28"/>
          <w:szCs w:val="28"/>
          <w:lang w:val="uk-UA"/>
        </w:rPr>
        <w:t>нші законодавчі і нормативні акти, що регулюють відносини у відповідній сфері.</w:t>
      </w:r>
    </w:p>
    <w:p w14:paraId="7E3CA72A" w14:textId="58081106" w:rsidR="003F5172" w:rsidRDefault="003F5172" w:rsidP="003F51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Загальна сума відшкодування компенсаційних виплат, пов’язаних з перевезенням громадян, які мають право на пільги </w:t>
      </w:r>
      <w:r w:rsidR="00033EC9">
        <w:rPr>
          <w:sz w:val="28"/>
          <w:szCs w:val="28"/>
          <w:lang w:val="uk-UA"/>
        </w:rPr>
        <w:t xml:space="preserve">на </w:t>
      </w:r>
      <w:r w:rsidR="00533D0D">
        <w:rPr>
          <w:sz w:val="28"/>
          <w:szCs w:val="28"/>
          <w:lang w:val="uk-UA"/>
        </w:rPr>
        <w:t>приміських, міжміських та міських маршрутах на автомобіль</w:t>
      </w:r>
      <w:r>
        <w:rPr>
          <w:sz w:val="28"/>
          <w:szCs w:val="28"/>
          <w:lang w:val="uk-UA"/>
        </w:rPr>
        <w:t>ному транспорті</w:t>
      </w:r>
      <w:r w:rsidR="005661B6">
        <w:rPr>
          <w:sz w:val="28"/>
          <w:szCs w:val="28"/>
          <w:lang w:val="uk-UA"/>
        </w:rPr>
        <w:t xml:space="preserve"> загального користування</w:t>
      </w:r>
      <w:r>
        <w:rPr>
          <w:sz w:val="28"/>
          <w:szCs w:val="28"/>
          <w:lang w:val="uk-UA"/>
        </w:rPr>
        <w:t xml:space="preserve"> визначається кошторисними призначеннями на відповідний рік за рахунок коштів місцевого бюджету. </w:t>
      </w:r>
    </w:p>
    <w:p w14:paraId="77E5E838" w14:textId="1AF84584" w:rsidR="003F5172" w:rsidRDefault="003F5172" w:rsidP="003F51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727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Відшкодування компенсаційних виплат проводиться на підставі </w:t>
      </w:r>
      <w:r w:rsidR="00033EC9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оговору</w:t>
      </w:r>
      <w:r w:rsidR="00033EC9">
        <w:rPr>
          <w:sz w:val="28"/>
          <w:szCs w:val="28"/>
          <w:lang w:val="uk-UA"/>
        </w:rPr>
        <w:t xml:space="preserve"> щодо компенсаційних виплат</w:t>
      </w:r>
      <w:r>
        <w:rPr>
          <w:sz w:val="28"/>
          <w:szCs w:val="28"/>
          <w:lang w:val="uk-UA"/>
        </w:rPr>
        <w:t xml:space="preserve"> за перевезення окремих пільгових категорій громадян </w:t>
      </w:r>
      <w:r w:rsidR="00184314">
        <w:rPr>
          <w:sz w:val="28"/>
          <w:szCs w:val="28"/>
          <w:lang w:val="uk-UA"/>
        </w:rPr>
        <w:t>автомобіль</w:t>
      </w:r>
      <w:r w:rsidR="00033EC9">
        <w:rPr>
          <w:sz w:val="28"/>
          <w:szCs w:val="28"/>
          <w:lang w:val="uk-UA"/>
        </w:rPr>
        <w:t>ним</w:t>
      </w:r>
      <w:r>
        <w:rPr>
          <w:sz w:val="28"/>
          <w:szCs w:val="28"/>
          <w:lang w:val="uk-UA"/>
        </w:rPr>
        <w:t xml:space="preserve"> транспортом</w:t>
      </w:r>
      <w:r w:rsidR="00184314">
        <w:rPr>
          <w:sz w:val="28"/>
          <w:szCs w:val="28"/>
          <w:lang w:val="uk-UA"/>
        </w:rPr>
        <w:t xml:space="preserve"> на приміських, міжміських  та міських маршрутах</w:t>
      </w:r>
      <w:r>
        <w:rPr>
          <w:sz w:val="28"/>
          <w:szCs w:val="28"/>
          <w:lang w:val="uk-UA"/>
        </w:rPr>
        <w:t>, укладен</w:t>
      </w:r>
      <w:r w:rsidR="00033EC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між</w:t>
      </w:r>
      <w:r w:rsidR="006C75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C75A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еревізником</w:t>
      </w:r>
      <w:r w:rsidR="001F4321">
        <w:rPr>
          <w:sz w:val="28"/>
          <w:szCs w:val="28"/>
          <w:lang w:val="uk-UA"/>
        </w:rPr>
        <w:t xml:space="preserve">, </w:t>
      </w:r>
      <w:r w:rsidR="0054177C">
        <w:rPr>
          <w:sz w:val="28"/>
          <w:szCs w:val="28"/>
          <w:lang w:val="uk-UA"/>
        </w:rPr>
        <w:t xml:space="preserve"> Городоцькою міською радою</w:t>
      </w:r>
      <w:r w:rsidR="001F4321">
        <w:rPr>
          <w:sz w:val="28"/>
          <w:szCs w:val="28"/>
          <w:lang w:val="uk-UA"/>
        </w:rPr>
        <w:t xml:space="preserve"> </w:t>
      </w:r>
      <w:r w:rsidR="00F759B6">
        <w:rPr>
          <w:sz w:val="28"/>
          <w:szCs w:val="28"/>
          <w:lang w:val="uk-UA"/>
        </w:rPr>
        <w:t xml:space="preserve">- </w:t>
      </w:r>
      <w:r w:rsidR="001F4321">
        <w:rPr>
          <w:sz w:val="28"/>
          <w:szCs w:val="28"/>
          <w:lang w:val="uk-UA"/>
        </w:rPr>
        <w:t>головни</w:t>
      </w:r>
      <w:r w:rsidR="00F759B6">
        <w:rPr>
          <w:sz w:val="28"/>
          <w:szCs w:val="28"/>
          <w:lang w:val="uk-UA"/>
        </w:rPr>
        <w:t>м</w:t>
      </w:r>
      <w:r w:rsidR="001F4321">
        <w:rPr>
          <w:sz w:val="28"/>
          <w:szCs w:val="28"/>
          <w:lang w:val="uk-UA"/>
        </w:rPr>
        <w:t xml:space="preserve"> розпорядник</w:t>
      </w:r>
      <w:r w:rsidR="00F759B6">
        <w:rPr>
          <w:sz w:val="28"/>
          <w:szCs w:val="28"/>
          <w:lang w:val="uk-UA"/>
        </w:rPr>
        <w:t>ом</w:t>
      </w:r>
      <w:r w:rsidR="001F4321">
        <w:rPr>
          <w:sz w:val="28"/>
          <w:szCs w:val="28"/>
          <w:lang w:val="uk-UA"/>
        </w:rPr>
        <w:t xml:space="preserve"> коштів</w:t>
      </w:r>
      <w:r w:rsidR="0054177C">
        <w:rPr>
          <w:sz w:val="28"/>
          <w:szCs w:val="28"/>
          <w:lang w:val="uk-UA"/>
        </w:rPr>
        <w:t xml:space="preserve"> та  комунальною установою «Центр надання соціальних послуг Городоцької міської ради»</w:t>
      </w:r>
      <w:r>
        <w:rPr>
          <w:sz w:val="28"/>
          <w:szCs w:val="28"/>
          <w:lang w:val="uk-UA"/>
        </w:rPr>
        <w:t>, як</w:t>
      </w:r>
      <w:r w:rsidR="0054177C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 визначе</w:t>
      </w:r>
      <w:r w:rsidR="001F432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розпорядником коштів</w:t>
      </w:r>
      <w:r w:rsidR="001F4321">
        <w:rPr>
          <w:sz w:val="28"/>
          <w:szCs w:val="28"/>
          <w:lang w:val="uk-UA"/>
        </w:rPr>
        <w:t xml:space="preserve"> на такі цілі</w:t>
      </w:r>
      <w:r>
        <w:rPr>
          <w:sz w:val="28"/>
          <w:szCs w:val="28"/>
          <w:lang w:val="uk-UA"/>
        </w:rPr>
        <w:t xml:space="preserve">. </w:t>
      </w:r>
    </w:p>
    <w:p w14:paraId="4A0AB730" w14:textId="0F896F35" w:rsidR="003F5172" w:rsidRDefault="003F5172" w:rsidP="003F51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5.Обліку підлягають поїздки пільгових категорій громадян, яким відповідно до законодавства України надано право пільгового проїзду в </w:t>
      </w:r>
      <w:r w:rsidR="005661B6">
        <w:rPr>
          <w:sz w:val="28"/>
          <w:szCs w:val="28"/>
          <w:lang w:val="uk-UA"/>
        </w:rPr>
        <w:t>автомобіль</w:t>
      </w:r>
      <w:r>
        <w:rPr>
          <w:sz w:val="28"/>
          <w:szCs w:val="28"/>
          <w:lang w:val="uk-UA"/>
        </w:rPr>
        <w:t>ному транспорті</w:t>
      </w:r>
      <w:r w:rsidR="00F759B6">
        <w:rPr>
          <w:sz w:val="28"/>
          <w:szCs w:val="28"/>
          <w:lang w:val="uk-UA"/>
        </w:rPr>
        <w:t>, а саме:</w:t>
      </w:r>
    </w:p>
    <w:p w14:paraId="1EF4E0B5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1. Ветерани війни (учасники бойових дій, особи з інвалідністю внаслідок</w:t>
      </w:r>
    </w:p>
    <w:p w14:paraId="335D5240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війни).</w:t>
      </w:r>
    </w:p>
    <w:p w14:paraId="1E293A91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2. Ветерани військової служби.</w:t>
      </w:r>
    </w:p>
    <w:p w14:paraId="2EB893EF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3. Ветерани органів внутрішніх справ.</w:t>
      </w:r>
    </w:p>
    <w:p w14:paraId="7A1007B2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4. Ветерани податкової міліції.</w:t>
      </w:r>
    </w:p>
    <w:p w14:paraId="540429A1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5. Ветерани Державної кримінально-виконавчої служби.</w:t>
      </w:r>
    </w:p>
    <w:p w14:paraId="3EBDE9F8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6. Ветерани Державної пожежної охорони.</w:t>
      </w:r>
    </w:p>
    <w:p w14:paraId="16C598D3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7. Ветерани служби цивільного захисту.</w:t>
      </w:r>
    </w:p>
    <w:p w14:paraId="3584A64D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8. Ветерани Державної служби спеціального зв’язку та захисту інформації</w:t>
      </w:r>
    </w:p>
    <w:p w14:paraId="3CECB509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України.</w:t>
      </w:r>
    </w:p>
    <w:p w14:paraId="5FE9E4AC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9. Ветерани Національної поліції.</w:t>
      </w:r>
    </w:p>
    <w:p w14:paraId="2AF6827D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10. Особи, звільнені з військової служби, які стали особами з інвалідністю під</w:t>
      </w:r>
    </w:p>
    <w:p w14:paraId="4DF8AD62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час проходження військової служби.</w:t>
      </w:r>
    </w:p>
    <w:p w14:paraId="58205660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11. Реабілітовані громадяни, які стали особами з інвалідністю внаслідок</w:t>
      </w:r>
    </w:p>
    <w:p w14:paraId="6B9E8F8B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репресій або є пенсіонерами.</w:t>
      </w:r>
    </w:p>
    <w:p w14:paraId="3CF5AC33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12. Громадяни, що постраждали внаслідок Чорнобильської катастрофи,</w:t>
      </w:r>
    </w:p>
    <w:p w14:paraId="37DBFF2A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I категорії, II категорії (ліквідатори).</w:t>
      </w:r>
    </w:p>
    <w:p w14:paraId="0DD8B18C" w14:textId="77777777" w:rsidR="00DE74FE" w:rsidRPr="00F5450B" w:rsidRDefault="00DE74FE" w:rsidP="00DE74FE">
      <w:pPr>
        <w:rPr>
          <w:sz w:val="28"/>
          <w:szCs w:val="28"/>
          <w:lang w:val="uk-UA"/>
        </w:rPr>
      </w:pPr>
      <w:r w:rsidRPr="00F5450B">
        <w:rPr>
          <w:sz w:val="28"/>
          <w:szCs w:val="28"/>
          <w:lang w:val="uk-UA"/>
        </w:rPr>
        <w:t>13. Особи з інвалідністю, діти з інвалідністю та супроводжуючий особу з</w:t>
      </w:r>
    </w:p>
    <w:p w14:paraId="4D1FFFAE" w14:textId="77777777" w:rsidR="00DE74FE" w:rsidRPr="00F5450B" w:rsidRDefault="00DE74FE" w:rsidP="00DE74FE">
      <w:pPr>
        <w:rPr>
          <w:sz w:val="28"/>
          <w:szCs w:val="28"/>
          <w:lang w:val="uk-UA"/>
        </w:rPr>
      </w:pPr>
      <w:r w:rsidRPr="00F5450B">
        <w:rPr>
          <w:sz w:val="28"/>
          <w:szCs w:val="28"/>
          <w:lang w:val="uk-UA"/>
        </w:rPr>
        <w:t>інвалідністю І групи або дитину з інвалідністю (не більше одного</w:t>
      </w:r>
    </w:p>
    <w:p w14:paraId="5FA09C69" w14:textId="77777777" w:rsidR="00DE74FE" w:rsidRPr="00F5450B" w:rsidRDefault="00DE74FE" w:rsidP="00DE74FE">
      <w:pPr>
        <w:rPr>
          <w:sz w:val="28"/>
          <w:szCs w:val="28"/>
          <w:lang w:val="uk-UA"/>
        </w:rPr>
      </w:pPr>
      <w:r w:rsidRPr="00F5450B">
        <w:rPr>
          <w:sz w:val="28"/>
          <w:szCs w:val="28"/>
          <w:lang w:val="uk-UA"/>
        </w:rPr>
        <w:t>супроводжуючого).</w:t>
      </w:r>
    </w:p>
    <w:p w14:paraId="2F9D5F0F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14. Діти з багатодітних сімей.</w:t>
      </w:r>
    </w:p>
    <w:p w14:paraId="4354800A" w14:textId="14F80D1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15. Діти-сироти</w:t>
      </w:r>
      <w:r w:rsidR="00184314">
        <w:rPr>
          <w:sz w:val="28"/>
          <w:szCs w:val="28"/>
          <w:lang w:val="uk-UA"/>
        </w:rPr>
        <w:t>, діти, позбавлені батьківського піклування, які виховуються або навчаються у навчально-виховних закладах або інтернатних закладах.</w:t>
      </w:r>
    </w:p>
    <w:p w14:paraId="1BC0E550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lastRenderedPageBreak/>
        <w:t>16. Пенсіонери за віком.</w:t>
      </w:r>
    </w:p>
    <w:p w14:paraId="5229F432" w14:textId="77777777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17. Члени сім’ї військовослужбовця, який загинув чи помер або пропав безвісти</w:t>
      </w:r>
    </w:p>
    <w:p w14:paraId="21BC6771" w14:textId="28B9AD14" w:rsidR="00DE74FE" w:rsidRPr="000E77AC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під час проходження військової служби</w:t>
      </w:r>
      <w:r>
        <w:rPr>
          <w:sz w:val="28"/>
          <w:szCs w:val="28"/>
          <w:lang w:val="uk-UA"/>
        </w:rPr>
        <w:t xml:space="preserve">, в тому числі загиблого (померлих) чи </w:t>
      </w:r>
      <w:proofErr w:type="spellStart"/>
      <w:r>
        <w:rPr>
          <w:sz w:val="28"/>
          <w:szCs w:val="28"/>
          <w:lang w:val="uk-UA"/>
        </w:rPr>
        <w:t>пропавшого</w:t>
      </w:r>
      <w:proofErr w:type="spellEnd"/>
      <w:r>
        <w:rPr>
          <w:sz w:val="28"/>
          <w:szCs w:val="28"/>
          <w:lang w:val="uk-UA"/>
        </w:rPr>
        <w:t xml:space="preserve"> безвісти  </w:t>
      </w:r>
      <w:r w:rsidRPr="00DE74FE">
        <w:rPr>
          <w:sz w:val="28"/>
          <w:szCs w:val="28"/>
          <w:lang w:val="uk-UA"/>
        </w:rPr>
        <w:t xml:space="preserve"> </w:t>
      </w:r>
      <w:r w:rsidRPr="000E77AC">
        <w:rPr>
          <w:sz w:val="28"/>
          <w:szCs w:val="28"/>
          <w:lang w:val="uk-UA"/>
        </w:rPr>
        <w:t>учасника антитерористичної операції (АТО), операції</w:t>
      </w:r>
    </w:p>
    <w:p w14:paraId="19CA657B" w14:textId="4B27DAC3" w:rsidR="00DE74FE" w:rsidRDefault="00DE74FE" w:rsidP="00DE74FE">
      <w:pPr>
        <w:rPr>
          <w:sz w:val="28"/>
          <w:szCs w:val="28"/>
          <w:lang w:val="uk-UA"/>
        </w:rPr>
      </w:pPr>
      <w:r w:rsidRPr="000E77AC">
        <w:rPr>
          <w:sz w:val="28"/>
          <w:szCs w:val="28"/>
          <w:lang w:val="uk-UA"/>
        </w:rPr>
        <w:t>об’єднаних сил (ОСС)</w:t>
      </w:r>
      <w:r>
        <w:rPr>
          <w:sz w:val="28"/>
          <w:szCs w:val="28"/>
          <w:lang w:val="uk-UA"/>
        </w:rPr>
        <w:t>,  Захисника/Захисниці.</w:t>
      </w:r>
    </w:p>
    <w:p w14:paraId="530039F7" w14:textId="787B2778" w:rsidR="0013017D" w:rsidRDefault="0013017D" w:rsidP="00DE74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18.Члени родини Героїв Небесної Сотні.</w:t>
      </w:r>
    </w:p>
    <w:p w14:paraId="0B228455" w14:textId="6ADF764D" w:rsidR="003F5172" w:rsidRDefault="003F5172" w:rsidP="00DE74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2DCB86D6" w14:textId="35C171DC" w:rsidR="00FE571A" w:rsidRPr="00E72EEF" w:rsidRDefault="00C16883" w:rsidP="00FE571A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E571A" w:rsidRPr="00E72EEF">
        <w:rPr>
          <w:sz w:val="28"/>
          <w:szCs w:val="28"/>
          <w:lang w:val="uk-UA"/>
        </w:rPr>
        <w:t>. Відшкодування за перевезення</w:t>
      </w:r>
      <w:r>
        <w:rPr>
          <w:sz w:val="28"/>
          <w:szCs w:val="28"/>
          <w:lang w:val="uk-UA"/>
        </w:rPr>
        <w:t xml:space="preserve"> </w:t>
      </w:r>
      <w:r w:rsidR="00FE571A" w:rsidRPr="00E72EEF">
        <w:rPr>
          <w:sz w:val="28"/>
          <w:szCs w:val="28"/>
          <w:lang w:val="uk-UA"/>
        </w:rPr>
        <w:t xml:space="preserve"> пільгових категорій громадян, що мають право на безплатний проїзд згідно з чинним законодавством та вказаних у пункті 5 цього Порядку, здійснюється за </w:t>
      </w:r>
      <w:r>
        <w:rPr>
          <w:sz w:val="28"/>
          <w:szCs w:val="28"/>
          <w:lang w:val="uk-UA"/>
        </w:rPr>
        <w:t>ц</w:t>
      </w:r>
      <w:r w:rsidR="00FE571A" w:rsidRPr="00E72EEF">
        <w:rPr>
          <w:sz w:val="28"/>
          <w:szCs w:val="28"/>
          <w:lang w:val="uk-UA"/>
        </w:rPr>
        <w:t xml:space="preserve">им Порядком та  на умовах, визначених </w:t>
      </w:r>
      <w:r w:rsidR="0013017D">
        <w:rPr>
          <w:sz w:val="28"/>
          <w:szCs w:val="28"/>
          <w:lang w:val="uk-UA"/>
        </w:rPr>
        <w:t>Д</w:t>
      </w:r>
      <w:r w:rsidR="00FE571A" w:rsidRPr="00E72EEF">
        <w:rPr>
          <w:sz w:val="28"/>
          <w:szCs w:val="28"/>
          <w:lang w:val="uk-UA"/>
        </w:rPr>
        <w:t xml:space="preserve">оговором щодо компенсаційних виплат за перевезення окремих категорій громадян  </w:t>
      </w:r>
      <w:r w:rsidR="0013017D">
        <w:rPr>
          <w:sz w:val="28"/>
          <w:szCs w:val="28"/>
          <w:lang w:val="uk-UA"/>
        </w:rPr>
        <w:t>автомобіль</w:t>
      </w:r>
      <w:r>
        <w:rPr>
          <w:sz w:val="28"/>
          <w:szCs w:val="28"/>
          <w:lang w:val="uk-UA"/>
        </w:rPr>
        <w:t>ним т</w:t>
      </w:r>
      <w:r w:rsidR="00FE571A" w:rsidRPr="00E72EEF">
        <w:rPr>
          <w:sz w:val="28"/>
          <w:szCs w:val="28"/>
          <w:lang w:val="uk-UA"/>
        </w:rPr>
        <w:t>ранспортом</w:t>
      </w:r>
      <w:r w:rsidR="00E72EEF" w:rsidRPr="00E72EEF">
        <w:rPr>
          <w:sz w:val="28"/>
          <w:szCs w:val="28"/>
          <w:lang w:val="uk-UA"/>
        </w:rPr>
        <w:t xml:space="preserve">  на відповідний бюджетний рік</w:t>
      </w:r>
      <w:r w:rsidR="00FE571A" w:rsidRPr="00E72EEF">
        <w:rPr>
          <w:sz w:val="28"/>
          <w:szCs w:val="28"/>
          <w:lang w:val="uk-UA"/>
        </w:rPr>
        <w:t xml:space="preserve"> укладеним між </w:t>
      </w:r>
      <w:r w:rsidR="005969E2">
        <w:rPr>
          <w:sz w:val="28"/>
          <w:szCs w:val="28"/>
          <w:lang w:val="uk-UA"/>
        </w:rPr>
        <w:t>П</w:t>
      </w:r>
      <w:r w:rsidR="00FE571A" w:rsidRPr="00E72EEF">
        <w:rPr>
          <w:sz w:val="28"/>
          <w:szCs w:val="28"/>
          <w:lang w:val="uk-UA"/>
        </w:rPr>
        <w:t>еревізником</w:t>
      </w:r>
      <w:r w:rsidR="00E72EEF" w:rsidRPr="00E72EEF">
        <w:rPr>
          <w:sz w:val="28"/>
          <w:szCs w:val="28"/>
          <w:lang w:val="uk-UA"/>
        </w:rPr>
        <w:t>,</w:t>
      </w:r>
      <w:r w:rsidR="00FE571A" w:rsidRPr="00E72EEF">
        <w:rPr>
          <w:sz w:val="28"/>
          <w:szCs w:val="28"/>
          <w:lang w:val="uk-UA"/>
        </w:rPr>
        <w:t xml:space="preserve">  виконавчим органом міської ради,  </w:t>
      </w:r>
      <w:r w:rsidR="00E72EEF" w:rsidRPr="00E72EEF">
        <w:rPr>
          <w:sz w:val="28"/>
          <w:szCs w:val="28"/>
          <w:lang w:val="uk-UA"/>
        </w:rPr>
        <w:t xml:space="preserve"> комунальною установою «Центр надання соціальних послуг Городоцької міської ради», яка визначена розпорядником коштів на такі цілі</w:t>
      </w:r>
      <w:r w:rsidR="00FE571A" w:rsidRPr="00E72EEF">
        <w:rPr>
          <w:sz w:val="28"/>
          <w:szCs w:val="28"/>
          <w:lang w:val="uk-UA"/>
        </w:rPr>
        <w:t>.</w:t>
      </w:r>
    </w:p>
    <w:p w14:paraId="4B9FA4BE" w14:textId="77777777" w:rsidR="008D7EC2" w:rsidRDefault="008D7EC2" w:rsidP="003F517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158DFC3" w14:textId="3CED7190" w:rsidR="003F5172" w:rsidRDefault="008E7B7B" w:rsidP="003F517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F5172">
        <w:rPr>
          <w:sz w:val="28"/>
          <w:szCs w:val="28"/>
          <w:lang w:val="uk-UA"/>
        </w:rPr>
        <w:t xml:space="preserve">.  </w:t>
      </w:r>
      <w:r w:rsidR="003F5172">
        <w:rPr>
          <w:bCs/>
          <w:sz w:val="28"/>
          <w:szCs w:val="28"/>
          <w:lang w:val="uk-UA"/>
        </w:rPr>
        <w:t xml:space="preserve">Для отримання компенсаційних виплат </w:t>
      </w:r>
      <w:r w:rsidR="00F5450B">
        <w:rPr>
          <w:bCs/>
          <w:sz w:val="28"/>
          <w:szCs w:val="28"/>
          <w:lang w:val="uk-UA"/>
        </w:rPr>
        <w:t>П</w:t>
      </w:r>
      <w:r w:rsidR="003F5172">
        <w:rPr>
          <w:bCs/>
          <w:sz w:val="28"/>
          <w:szCs w:val="28"/>
          <w:lang w:val="uk-UA"/>
        </w:rPr>
        <w:t>еревізник щомісяця не пізніше 10 числа місяця</w:t>
      </w:r>
      <w:r w:rsidR="004440B7">
        <w:rPr>
          <w:bCs/>
          <w:sz w:val="28"/>
          <w:szCs w:val="28"/>
          <w:lang w:val="uk-UA"/>
        </w:rPr>
        <w:t xml:space="preserve"> </w:t>
      </w:r>
      <w:r w:rsidR="003F5172">
        <w:rPr>
          <w:bCs/>
          <w:sz w:val="28"/>
          <w:szCs w:val="28"/>
          <w:lang w:val="uk-UA"/>
        </w:rPr>
        <w:t xml:space="preserve"> наступного за звітним надає </w:t>
      </w:r>
      <w:r w:rsidR="004440B7">
        <w:rPr>
          <w:bCs/>
          <w:sz w:val="28"/>
          <w:szCs w:val="28"/>
          <w:lang w:val="uk-UA"/>
        </w:rPr>
        <w:t xml:space="preserve"> Городоцькій міській раді разом із супровідним листом</w:t>
      </w:r>
      <w:r w:rsidR="003F5172">
        <w:rPr>
          <w:bCs/>
          <w:sz w:val="28"/>
          <w:szCs w:val="28"/>
          <w:lang w:val="uk-UA"/>
        </w:rPr>
        <w:t>:</w:t>
      </w:r>
    </w:p>
    <w:p w14:paraId="2D0080DC" w14:textId="1C7FB5AE" w:rsidR="008E7B7B" w:rsidRPr="00F86ED8" w:rsidRDefault="008E7B7B" w:rsidP="003F5172">
      <w:pPr>
        <w:pStyle w:val="20"/>
        <w:spacing w:after="0" w:line="240" w:lineRule="auto"/>
        <w:ind w:left="0" w:right="-108"/>
        <w:jc w:val="both"/>
        <w:rPr>
          <w:bCs/>
          <w:color w:val="FF0000"/>
          <w:sz w:val="28"/>
          <w:szCs w:val="28"/>
          <w:lang w:val="uk-UA"/>
        </w:rPr>
      </w:pPr>
      <w:r w:rsidRPr="00F86ED8">
        <w:rPr>
          <w:bCs/>
          <w:color w:val="FF0000"/>
          <w:sz w:val="28"/>
          <w:szCs w:val="28"/>
          <w:lang w:val="uk-UA"/>
        </w:rPr>
        <w:t xml:space="preserve">- </w:t>
      </w:r>
      <w:r w:rsidR="00EB5DB9" w:rsidRPr="00F86ED8">
        <w:rPr>
          <w:bCs/>
          <w:color w:val="FF0000"/>
          <w:sz w:val="28"/>
          <w:szCs w:val="28"/>
          <w:lang w:val="uk-UA"/>
        </w:rPr>
        <w:t xml:space="preserve"> розрахунок </w:t>
      </w:r>
      <w:r w:rsidR="00F86ED8" w:rsidRPr="00F86ED8">
        <w:rPr>
          <w:bCs/>
          <w:color w:val="FF0000"/>
          <w:sz w:val="28"/>
          <w:szCs w:val="28"/>
          <w:lang w:val="uk-UA"/>
        </w:rPr>
        <w:t xml:space="preserve">суми компенсаційних виплат за пільговий проїзд окремих категорій громадян </w:t>
      </w:r>
      <w:r w:rsidR="001C05EE">
        <w:rPr>
          <w:bCs/>
          <w:color w:val="FF0000"/>
          <w:sz w:val="28"/>
          <w:szCs w:val="28"/>
          <w:lang w:val="uk-UA"/>
        </w:rPr>
        <w:t xml:space="preserve">  при користуванні </w:t>
      </w:r>
      <w:r w:rsidR="00184314">
        <w:rPr>
          <w:bCs/>
          <w:color w:val="FF0000"/>
          <w:sz w:val="28"/>
          <w:szCs w:val="28"/>
          <w:lang w:val="uk-UA"/>
        </w:rPr>
        <w:t>пасажирськ</w:t>
      </w:r>
      <w:r w:rsidR="001C05EE">
        <w:rPr>
          <w:bCs/>
          <w:color w:val="FF0000"/>
          <w:sz w:val="28"/>
          <w:szCs w:val="28"/>
          <w:lang w:val="uk-UA"/>
        </w:rPr>
        <w:t xml:space="preserve">им транспортом </w:t>
      </w:r>
      <w:r w:rsidR="00F86ED8" w:rsidRPr="00F86ED8">
        <w:rPr>
          <w:bCs/>
          <w:color w:val="FF0000"/>
          <w:sz w:val="28"/>
          <w:szCs w:val="28"/>
          <w:lang w:val="uk-UA"/>
        </w:rPr>
        <w:t>на приміських, міжміських та міських маршрутах</w:t>
      </w:r>
      <w:r w:rsidR="001C05EE">
        <w:rPr>
          <w:bCs/>
          <w:color w:val="FF0000"/>
          <w:sz w:val="28"/>
          <w:szCs w:val="28"/>
          <w:lang w:val="uk-UA"/>
        </w:rPr>
        <w:t xml:space="preserve"> визначен</w:t>
      </w:r>
      <w:r w:rsidR="00380554">
        <w:rPr>
          <w:bCs/>
          <w:color w:val="FF0000"/>
          <w:sz w:val="28"/>
          <w:szCs w:val="28"/>
          <w:lang w:val="uk-UA"/>
        </w:rPr>
        <w:t>ий</w:t>
      </w:r>
      <w:r w:rsidR="001C05EE">
        <w:rPr>
          <w:bCs/>
          <w:color w:val="FF0000"/>
          <w:sz w:val="28"/>
          <w:szCs w:val="28"/>
          <w:lang w:val="uk-UA"/>
        </w:rPr>
        <w:t xml:space="preserve"> Договором; </w:t>
      </w:r>
    </w:p>
    <w:p w14:paraId="122DBE0A" w14:textId="6D289D55" w:rsidR="00184314" w:rsidRDefault="003F5172" w:rsidP="00A24122">
      <w:pPr>
        <w:pStyle w:val="20"/>
        <w:spacing w:after="0" w:line="240" w:lineRule="auto"/>
        <w:ind w:left="0" w:right="-108"/>
        <w:jc w:val="both"/>
        <w:rPr>
          <w:bCs/>
          <w:color w:val="FF0000"/>
          <w:sz w:val="28"/>
          <w:szCs w:val="28"/>
          <w:lang w:val="uk-UA"/>
        </w:rPr>
      </w:pPr>
      <w:r w:rsidRPr="00F86ED8">
        <w:rPr>
          <w:bCs/>
          <w:color w:val="FF0000"/>
          <w:sz w:val="28"/>
          <w:szCs w:val="28"/>
          <w:lang w:val="uk-UA"/>
        </w:rPr>
        <w:t>- акт звіряння розрахунк</w:t>
      </w:r>
      <w:r w:rsidR="00184314">
        <w:rPr>
          <w:bCs/>
          <w:color w:val="FF0000"/>
          <w:sz w:val="28"/>
          <w:szCs w:val="28"/>
          <w:lang w:val="uk-UA"/>
        </w:rPr>
        <w:t>ів за формою визначеною Договором;</w:t>
      </w:r>
    </w:p>
    <w:p w14:paraId="076A14B9" w14:textId="538682F5" w:rsidR="003F5172" w:rsidRPr="00F86ED8" w:rsidRDefault="003F5172" w:rsidP="00A24122">
      <w:pPr>
        <w:pStyle w:val="20"/>
        <w:spacing w:after="0" w:line="240" w:lineRule="auto"/>
        <w:ind w:left="0" w:right="-108"/>
        <w:jc w:val="both"/>
        <w:rPr>
          <w:bCs/>
          <w:color w:val="FF0000"/>
          <w:sz w:val="28"/>
          <w:szCs w:val="28"/>
          <w:lang w:val="uk-UA"/>
        </w:rPr>
      </w:pPr>
      <w:r w:rsidRPr="00F86ED8">
        <w:rPr>
          <w:bCs/>
          <w:color w:val="FF0000"/>
          <w:sz w:val="28"/>
          <w:szCs w:val="28"/>
          <w:lang w:val="uk-UA"/>
        </w:rPr>
        <w:t xml:space="preserve"> </w:t>
      </w:r>
      <w:r w:rsidR="00184314">
        <w:rPr>
          <w:bCs/>
          <w:color w:val="FF0000"/>
          <w:sz w:val="28"/>
          <w:szCs w:val="28"/>
          <w:lang w:val="uk-UA"/>
        </w:rPr>
        <w:t>- акт виконаних робіт по перевезенню пільгових категорій громадян при користуванні автомобільним транспортом</w:t>
      </w:r>
      <w:r w:rsidR="00F47C20">
        <w:rPr>
          <w:bCs/>
          <w:color w:val="FF0000"/>
          <w:sz w:val="28"/>
          <w:szCs w:val="28"/>
          <w:lang w:val="uk-UA"/>
        </w:rPr>
        <w:t>, визначений Договором</w:t>
      </w:r>
      <w:r w:rsidR="00F5450B" w:rsidRPr="00F86ED8">
        <w:rPr>
          <w:bCs/>
          <w:color w:val="FF0000"/>
          <w:sz w:val="28"/>
          <w:szCs w:val="28"/>
          <w:lang w:val="uk-UA"/>
        </w:rPr>
        <w:t>.</w:t>
      </w:r>
    </w:p>
    <w:p w14:paraId="3A448325" w14:textId="7167FE60" w:rsidR="00A0451E" w:rsidRPr="00F86ED8" w:rsidRDefault="00A0451E" w:rsidP="00A24122">
      <w:pPr>
        <w:pStyle w:val="20"/>
        <w:spacing w:after="0" w:line="240" w:lineRule="auto"/>
        <w:ind w:left="0" w:right="-108"/>
        <w:jc w:val="both"/>
        <w:rPr>
          <w:bCs/>
          <w:color w:val="FF0000"/>
          <w:sz w:val="28"/>
          <w:szCs w:val="28"/>
          <w:lang w:val="uk-UA"/>
        </w:rPr>
      </w:pPr>
    </w:p>
    <w:p w14:paraId="3D96A435" w14:textId="45D0FE3A" w:rsidR="00A0451E" w:rsidRPr="00A24122" w:rsidRDefault="00F5450B" w:rsidP="00A24122">
      <w:pPr>
        <w:pStyle w:val="20"/>
        <w:spacing w:after="0" w:line="240" w:lineRule="auto"/>
        <w:ind w:left="0" w:right="-1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A0451E">
        <w:rPr>
          <w:bCs/>
          <w:sz w:val="28"/>
          <w:szCs w:val="28"/>
          <w:lang w:val="uk-UA"/>
        </w:rPr>
        <w:t xml:space="preserve">. Належно сформований пакет документів, зазначений у пункті </w:t>
      </w:r>
      <w:r w:rsidR="00893A19">
        <w:rPr>
          <w:bCs/>
          <w:sz w:val="28"/>
          <w:szCs w:val="28"/>
          <w:lang w:val="uk-UA"/>
        </w:rPr>
        <w:t>7</w:t>
      </w:r>
      <w:r w:rsidR="00A0451E">
        <w:rPr>
          <w:bCs/>
          <w:sz w:val="28"/>
          <w:szCs w:val="28"/>
          <w:lang w:val="uk-UA"/>
        </w:rPr>
        <w:t xml:space="preserve"> Порядку погоджується уповноваженими особами Городоцької міської ради та передається КУ «Центр надання соціальних послуг Городоцької міської ради» - платнику  для  проведення оплати.</w:t>
      </w:r>
    </w:p>
    <w:p w14:paraId="0BA9B88E" w14:textId="0D45F56A" w:rsidR="003F5172" w:rsidRDefault="00F5450B" w:rsidP="003F5172">
      <w:pPr>
        <w:pStyle w:val="a6"/>
        <w:shd w:val="clear" w:color="auto" w:fill="FFFFFF"/>
        <w:spacing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F5172">
        <w:rPr>
          <w:sz w:val="28"/>
          <w:szCs w:val="28"/>
          <w:lang w:val="uk-UA"/>
        </w:rPr>
        <w:t xml:space="preserve">. </w:t>
      </w:r>
      <w:r w:rsidR="00A0451E">
        <w:rPr>
          <w:sz w:val="28"/>
          <w:szCs w:val="28"/>
          <w:lang w:val="uk-UA"/>
        </w:rPr>
        <w:t>Платник</w:t>
      </w:r>
      <w:r w:rsidR="003F5172">
        <w:rPr>
          <w:sz w:val="28"/>
          <w:szCs w:val="28"/>
          <w:lang w:val="uk-UA"/>
        </w:rPr>
        <w:t xml:space="preserve">, який визначений розпорядником коштів, перераховує кошти на розрахунковий рахунок </w:t>
      </w:r>
      <w:r w:rsidR="00844629">
        <w:rPr>
          <w:sz w:val="28"/>
          <w:szCs w:val="28"/>
          <w:lang w:val="uk-UA"/>
        </w:rPr>
        <w:t>П</w:t>
      </w:r>
      <w:r w:rsidR="003F5172">
        <w:rPr>
          <w:sz w:val="28"/>
          <w:szCs w:val="28"/>
          <w:lang w:val="uk-UA"/>
        </w:rPr>
        <w:t xml:space="preserve">еревізника після надходження коштів місцевого бюджету на рахунок </w:t>
      </w:r>
      <w:r w:rsidR="00A0451E">
        <w:rPr>
          <w:sz w:val="28"/>
          <w:szCs w:val="28"/>
          <w:lang w:val="uk-UA"/>
        </w:rPr>
        <w:t xml:space="preserve"> від </w:t>
      </w:r>
      <w:r w:rsidR="003F5172">
        <w:rPr>
          <w:sz w:val="28"/>
          <w:szCs w:val="28"/>
          <w:lang w:val="uk-UA"/>
        </w:rPr>
        <w:t>головного розпорядника коштів.</w:t>
      </w:r>
    </w:p>
    <w:p w14:paraId="51104C4F" w14:textId="707362B1" w:rsidR="003F5172" w:rsidRDefault="00A0451E" w:rsidP="00844629">
      <w:pPr>
        <w:pStyle w:val="a6"/>
        <w:shd w:val="clear" w:color="auto" w:fill="FFFFFF"/>
        <w:spacing w:after="24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5450B">
        <w:rPr>
          <w:sz w:val="28"/>
          <w:szCs w:val="28"/>
          <w:lang w:val="uk-UA"/>
        </w:rPr>
        <w:t>0</w:t>
      </w:r>
      <w:r w:rsidR="003F5172">
        <w:rPr>
          <w:sz w:val="28"/>
          <w:szCs w:val="28"/>
          <w:lang w:val="uk-UA"/>
        </w:rPr>
        <w:t>.</w:t>
      </w:r>
      <w:r w:rsidR="003F5172">
        <w:rPr>
          <w:sz w:val="28"/>
          <w:szCs w:val="28"/>
        </w:rPr>
        <w:t> </w:t>
      </w:r>
      <w:r w:rsidR="00AA4004">
        <w:rPr>
          <w:sz w:val="28"/>
          <w:szCs w:val="28"/>
          <w:lang w:val="uk-UA"/>
        </w:rPr>
        <w:t>Р</w:t>
      </w:r>
      <w:r w:rsidR="003F5172">
        <w:rPr>
          <w:sz w:val="28"/>
          <w:szCs w:val="28"/>
          <w:lang w:val="uk-UA"/>
        </w:rPr>
        <w:t xml:space="preserve">озпорядник коштів, приймає до відшкодування суми вартості послуг, наданих з пільгового перевезення у поточному році, в межах річного обсягу коштів, передбачених </w:t>
      </w:r>
      <w:r w:rsidR="00893A19">
        <w:rPr>
          <w:sz w:val="28"/>
          <w:szCs w:val="28"/>
          <w:lang w:val="uk-UA"/>
        </w:rPr>
        <w:t xml:space="preserve"> кошторисом та </w:t>
      </w:r>
      <w:r w:rsidR="003F5172">
        <w:rPr>
          <w:sz w:val="28"/>
          <w:szCs w:val="28"/>
          <w:lang w:val="uk-UA"/>
        </w:rPr>
        <w:t xml:space="preserve"> Договор</w:t>
      </w:r>
      <w:r w:rsidR="00893A19">
        <w:rPr>
          <w:sz w:val="28"/>
          <w:szCs w:val="28"/>
          <w:lang w:val="uk-UA"/>
        </w:rPr>
        <w:t>ом</w:t>
      </w:r>
      <w:r w:rsidR="003F5172">
        <w:rPr>
          <w:sz w:val="28"/>
          <w:szCs w:val="28"/>
          <w:lang w:val="uk-UA"/>
        </w:rPr>
        <w:t xml:space="preserve"> на відповідні цілі. </w:t>
      </w:r>
      <w:r w:rsidR="003F5172">
        <w:rPr>
          <w:sz w:val="28"/>
          <w:szCs w:val="28"/>
        </w:rPr>
        <w:t>         </w:t>
      </w:r>
    </w:p>
    <w:p w14:paraId="794C4C4F" w14:textId="77777777" w:rsidR="003F5172" w:rsidRDefault="003F5172" w:rsidP="003F5172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                       </w:t>
      </w:r>
    </w:p>
    <w:p w14:paraId="15F90C83" w14:textId="11FA28F4" w:rsidR="003F5172" w:rsidRPr="006970C9" w:rsidRDefault="006970C9" w:rsidP="006970C9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1</w:t>
      </w:r>
      <w:r w:rsidR="00F5450B">
        <w:rPr>
          <w:sz w:val="28"/>
          <w:szCs w:val="28"/>
          <w:lang w:val="uk-UA"/>
        </w:rPr>
        <w:t>1</w:t>
      </w:r>
      <w:r w:rsidR="003F5172">
        <w:rPr>
          <w:sz w:val="28"/>
          <w:szCs w:val="28"/>
          <w:lang w:val="uk-UA"/>
        </w:rPr>
        <w:t>. Перевізник несе повну відповідальність за достовірність наданої інформації та  надання пільг на проїзд окремих категорій громадян.</w:t>
      </w:r>
    </w:p>
    <w:p w14:paraId="0E61C29A" w14:textId="77777777" w:rsidR="003F5172" w:rsidRDefault="003F5172" w:rsidP="003F5172">
      <w:pPr>
        <w:pStyle w:val="a6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            </w:t>
      </w:r>
    </w:p>
    <w:p w14:paraId="57734C96" w14:textId="6D0FD518" w:rsidR="003F5172" w:rsidRDefault="006970C9" w:rsidP="003F517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5450B">
        <w:rPr>
          <w:sz w:val="28"/>
          <w:szCs w:val="28"/>
          <w:lang w:val="uk-UA"/>
        </w:rPr>
        <w:t>2</w:t>
      </w:r>
      <w:r w:rsidR="003F5172">
        <w:rPr>
          <w:sz w:val="28"/>
          <w:szCs w:val="28"/>
          <w:lang w:val="uk-UA"/>
        </w:rPr>
        <w:t xml:space="preserve">. Спори, що виникають між </w:t>
      </w:r>
      <w:r w:rsidR="00844629">
        <w:rPr>
          <w:sz w:val="28"/>
          <w:szCs w:val="28"/>
          <w:lang w:val="uk-UA"/>
        </w:rPr>
        <w:t>П</w:t>
      </w:r>
      <w:r w:rsidR="003F5172">
        <w:rPr>
          <w:sz w:val="28"/>
          <w:szCs w:val="28"/>
          <w:lang w:val="uk-UA"/>
        </w:rPr>
        <w:t xml:space="preserve">еревізником та виконавчим органом </w:t>
      </w:r>
      <w:r>
        <w:rPr>
          <w:sz w:val="28"/>
          <w:szCs w:val="28"/>
          <w:lang w:val="uk-UA"/>
        </w:rPr>
        <w:t>міськ</w:t>
      </w:r>
      <w:r w:rsidR="003F5172">
        <w:rPr>
          <w:sz w:val="28"/>
          <w:szCs w:val="28"/>
          <w:lang w:val="uk-UA"/>
        </w:rPr>
        <w:t>ої ради, який визначений головним розпорядником коштів,</w:t>
      </w:r>
      <w:r w:rsidR="003F5172">
        <w:rPr>
          <w:bCs/>
          <w:sz w:val="28"/>
          <w:szCs w:val="28"/>
          <w:lang w:val="uk-UA"/>
        </w:rPr>
        <w:t xml:space="preserve"> </w:t>
      </w:r>
      <w:r w:rsidR="003F5172">
        <w:rPr>
          <w:sz w:val="28"/>
          <w:szCs w:val="28"/>
          <w:lang w:val="uk-UA"/>
        </w:rPr>
        <w:t>вирішуються шляхом переговорів.</w:t>
      </w:r>
    </w:p>
    <w:p w14:paraId="7D4DEAA2" w14:textId="39F19BF7" w:rsidR="003F5172" w:rsidRDefault="006970C9" w:rsidP="003F517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F5450B">
        <w:rPr>
          <w:sz w:val="28"/>
          <w:szCs w:val="28"/>
          <w:lang w:val="uk-UA"/>
        </w:rPr>
        <w:t>3</w:t>
      </w:r>
      <w:r w:rsidR="003F5172">
        <w:rPr>
          <w:sz w:val="28"/>
          <w:szCs w:val="28"/>
          <w:lang w:val="uk-UA"/>
        </w:rPr>
        <w:t xml:space="preserve">. У випадках недосягнення згоди між виконавчим органом </w:t>
      </w:r>
      <w:r w:rsidR="00893A19">
        <w:rPr>
          <w:sz w:val="28"/>
          <w:szCs w:val="28"/>
          <w:lang w:val="uk-UA"/>
        </w:rPr>
        <w:t>міськ</w:t>
      </w:r>
      <w:r w:rsidR="003F5172">
        <w:rPr>
          <w:sz w:val="28"/>
          <w:szCs w:val="28"/>
          <w:lang w:val="uk-UA"/>
        </w:rPr>
        <w:t xml:space="preserve">ої ради, який визначений головним розпорядником коштів та </w:t>
      </w:r>
      <w:r w:rsidR="00F5450B">
        <w:rPr>
          <w:sz w:val="28"/>
          <w:szCs w:val="28"/>
          <w:lang w:val="uk-UA"/>
        </w:rPr>
        <w:t>П</w:t>
      </w:r>
      <w:r w:rsidR="003F5172">
        <w:rPr>
          <w:sz w:val="28"/>
          <w:szCs w:val="28"/>
          <w:lang w:val="uk-UA"/>
        </w:rPr>
        <w:t>еревізником спори вирішуються згідно з чинним законодавством України.</w:t>
      </w:r>
    </w:p>
    <w:p w14:paraId="7DF89111" w14:textId="065E5F6B" w:rsidR="003F5172" w:rsidRDefault="003F5172" w:rsidP="003F5172">
      <w:pPr>
        <w:rPr>
          <w:sz w:val="28"/>
          <w:szCs w:val="28"/>
          <w:lang w:val="uk-UA"/>
        </w:rPr>
      </w:pPr>
    </w:p>
    <w:p w14:paraId="43E24597" w14:textId="77777777" w:rsidR="003F5172" w:rsidRDefault="003F5172" w:rsidP="003F5172">
      <w:pPr>
        <w:rPr>
          <w:lang w:val="uk-UA"/>
        </w:rPr>
      </w:pPr>
    </w:p>
    <w:p w14:paraId="5A949AFB" w14:textId="3F2C734D" w:rsidR="003F5172" w:rsidRPr="00D114C8" w:rsidRDefault="00D114C8" w:rsidP="003F5172">
      <w:pPr>
        <w:rPr>
          <w:sz w:val="28"/>
          <w:szCs w:val="28"/>
          <w:lang w:val="uk-UA"/>
        </w:rPr>
      </w:pPr>
      <w:r w:rsidRPr="00D114C8">
        <w:rPr>
          <w:sz w:val="28"/>
          <w:szCs w:val="28"/>
          <w:lang w:val="uk-UA"/>
        </w:rPr>
        <w:t>Керуючий справами (секретар)                                                  Богдан СТЕПАНЯК</w:t>
      </w:r>
    </w:p>
    <w:p w14:paraId="120A62F5" w14:textId="77777777" w:rsidR="003F5172" w:rsidRDefault="003F5172" w:rsidP="003F5172">
      <w:pPr>
        <w:rPr>
          <w:lang w:val="uk-UA"/>
        </w:rPr>
      </w:pPr>
    </w:p>
    <w:p w14:paraId="33830754" w14:textId="77777777" w:rsidR="003F5172" w:rsidRDefault="003F5172" w:rsidP="003F5172">
      <w:pPr>
        <w:rPr>
          <w:lang w:val="uk-UA"/>
        </w:rPr>
      </w:pPr>
    </w:p>
    <w:p w14:paraId="44BCEF71" w14:textId="77777777" w:rsidR="003F5172" w:rsidRDefault="003F5172" w:rsidP="003F5172">
      <w:pPr>
        <w:rPr>
          <w:lang w:val="uk-UA"/>
        </w:rPr>
      </w:pPr>
    </w:p>
    <w:p w14:paraId="1F3A984C" w14:textId="77777777" w:rsidR="003F5172" w:rsidRDefault="003F5172" w:rsidP="003F5172">
      <w:pPr>
        <w:rPr>
          <w:lang w:val="uk-UA"/>
        </w:rPr>
      </w:pPr>
    </w:p>
    <w:p w14:paraId="25F151B6" w14:textId="77777777" w:rsidR="003F5172" w:rsidRDefault="003F5172" w:rsidP="003F5172">
      <w:pPr>
        <w:rPr>
          <w:lang w:val="uk-UA"/>
        </w:rPr>
      </w:pPr>
    </w:p>
    <w:p w14:paraId="35D86C23" w14:textId="77777777" w:rsidR="003F5172" w:rsidRDefault="003F5172" w:rsidP="003F5172">
      <w:pPr>
        <w:rPr>
          <w:lang w:val="uk-UA"/>
        </w:rPr>
      </w:pPr>
    </w:p>
    <w:p w14:paraId="4AB95D52" w14:textId="77777777" w:rsidR="003F5172" w:rsidRDefault="003F5172" w:rsidP="003F5172">
      <w:pPr>
        <w:rPr>
          <w:lang w:val="uk-UA"/>
        </w:rPr>
      </w:pPr>
    </w:p>
    <w:p w14:paraId="443DEE20" w14:textId="77777777" w:rsidR="003F5172" w:rsidRDefault="003F5172" w:rsidP="003F5172">
      <w:pPr>
        <w:rPr>
          <w:lang w:val="uk-UA"/>
        </w:rPr>
      </w:pPr>
    </w:p>
    <w:p w14:paraId="16E52B94" w14:textId="77777777" w:rsidR="003F5172" w:rsidRDefault="003F5172" w:rsidP="003F5172">
      <w:pPr>
        <w:rPr>
          <w:lang w:val="uk-UA"/>
        </w:rPr>
      </w:pPr>
    </w:p>
    <w:p w14:paraId="70C57A18" w14:textId="77777777" w:rsidR="003F5172" w:rsidRDefault="003F5172" w:rsidP="003F5172">
      <w:pPr>
        <w:rPr>
          <w:lang w:val="uk-UA"/>
        </w:rPr>
      </w:pPr>
    </w:p>
    <w:p w14:paraId="62E9E6CC" w14:textId="77777777" w:rsidR="003F5172" w:rsidRDefault="003F5172" w:rsidP="003F5172">
      <w:pPr>
        <w:rPr>
          <w:lang w:val="uk-UA"/>
        </w:rPr>
      </w:pPr>
    </w:p>
    <w:p w14:paraId="42481885" w14:textId="77777777" w:rsidR="003F5172" w:rsidRDefault="003F5172" w:rsidP="003F5172">
      <w:pPr>
        <w:rPr>
          <w:lang w:val="uk-UA"/>
        </w:rPr>
      </w:pPr>
    </w:p>
    <w:p w14:paraId="62E17C2F" w14:textId="77777777" w:rsidR="003F5172" w:rsidRDefault="003F5172" w:rsidP="003F5172">
      <w:pPr>
        <w:rPr>
          <w:lang w:val="uk-UA"/>
        </w:rPr>
      </w:pPr>
    </w:p>
    <w:p w14:paraId="7F65F70E" w14:textId="77777777" w:rsidR="003F5172" w:rsidRDefault="003F5172" w:rsidP="003F5172">
      <w:pPr>
        <w:rPr>
          <w:lang w:val="uk-UA"/>
        </w:rPr>
      </w:pPr>
    </w:p>
    <w:p w14:paraId="05C3C814" w14:textId="77777777" w:rsidR="003F5172" w:rsidRDefault="003F5172" w:rsidP="003F5172">
      <w:pPr>
        <w:rPr>
          <w:lang w:val="uk-UA"/>
        </w:rPr>
      </w:pPr>
    </w:p>
    <w:p w14:paraId="42DF61A3" w14:textId="77777777" w:rsidR="003F5172" w:rsidRDefault="003F5172" w:rsidP="003F5172">
      <w:pPr>
        <w:rPr>
          <w:lang w:val="uk-UA"/>
        </w:rPr>
      </w:pPr>
    </w:p>
    <w:p w14:paraId="0EB170CD" w14:textId="77777777" w:rsidR="003F5172" w:rsidRDefault="003F5172" w:rsidP="003F5172">
      <w:pPr>
        <w:rPr>
          <w:lang w:val="uk-UA"/>
        </w:rPr>
      </w:pPr>
    </w:p>
    <w:p w14:paraId="48411FFF" w14:textId="77777777" w:rsidR="003F5172" w:rsidRDefault="003F5172" w:rsidP="003F5172">
      <w:pPr>
        <w:rPr>
          <w:lang w:val="uk-UA"/>
        </w:rPr>
      </w:pPr>
    </w:p>
    <w:p w14:paraId="057543F8" w14:textId="77777777" w:rsidR="003F5172" w:rsidRDefault="003F5172" w:rsidP="003F5172">
      <w:pPr>
        <w:rPr>
          <w:lang w:val="uk-UA"/>
        </w:rPr>
      </w:pPr>
    </w:p>
    <w:p w14:paraId="7EBD3BC2" w14:textId="77777777" w:rsidR="003F5172" w:rsidRDefault="003F5172" w:rsidP="003F5172">
      <w:pPr>
        <w:rPr>
          <w:lang w:val="uk-UA"/>
        </w:rPr>
      </w:pPr>
    </w:p>
    <w:p w14:paraId="3CAA8A4C" w14:textId="77777777" w:rsidR="003F5172" w:rsidRDefault="003F5172" w:rsidP="003F5172">
      <w:pPr>
        <w:rPr>
          <w:lang w:val="uk-UA"/>
        </w:rPr>
      </w:pPr>
    </w:p>
    <w:p w14:paraId="75885328" w14:textId="77777777" w:rsidR="003F5172" w:rsidRDefault="003F5172" w:rsidP="003F5172">
      <w:pPr>
        <w:rPr>
          <w:lang w:val="uk-UA"/>
        </w:rPr>
      </w:pPr>
    </w:p>
    <w:p w14:paraId="09EB25AA" w14:textId="77777777" w:rsidR="003F5172" w:rsidRDefault="003F5172" w:rsidP="003F5172">
      <w:pPr>
        <w:rPr>
          <w:lang w:val="uk-UA"/>
        </w:rPr>
      </w:pPr>
    </w:p>
    <w:p w14:paraId="1D108F40" w14:textId="77777777" w:rsidR="003F5172" w:rsidRDefault="003F5172" w:rsidP="003F5172">
      <w:pPr>
        <w:rPr>
          <w:lang w:val="uk-UA"/>
        </w:rPr>
      </w:pPr>
    </w:p>
    <w:p w14:paraId="1F544F56" w14:textId="77777777" w:rsidR="003F5172" w:rsidRDefault="003F5172" w:rsidP="003F5172">
      <w:pPr>
        <w:rPr>
          <w:lang w:val="uk-UA"/>
        </w:rPr>
      </w:pPr>
    </w:p>
    <w:p w14:paraId="00745BDB" w14:textId="77777777" w:rsidR="003F5172" w:rsidRDefault="003F5172" w:rsidP="003F5172">
      <w:pPr>
        <w:rPr>
          <w:lang w:val="uk-UA"/>
        </w:rPr>
      </w:pPr>
    </w:p>
    <w:p w14:paraId="0AF48A39" w14:textId="77777777" w:rsidR="003F5172" w:rsidRDefault="003F5172" w:rsidP="003F5172">
      <w:pPr>
        <w:rPr>
          <w:lang w:val="uk-UA"/>
        </w:rPr>
      </w:pPr>
    </w:p>
    <w:p w14:paraId="62675FE2" w14:textId="77777777" w:rsidR="003F5172" w:rsidRDefault="003F5172" w:rsidP="003F5172">
      <w:pPr>
        <w:rPr>
          <w:lang w:val="uk-UA"/>
        </w:rPr>
      </w:pPr>
    </w:p>
    <w:p w14:paraId="32D648C4" w14:textId="77777777" w:rsidR="003F5172" w:rsidRDefault="003F5172" w:rsidP="003F5172">
      <w:pPr>
        <w:rPr>
          <w:lang w:val="uk-UA"/>
        </w:rPr>
      </w:pPr>
    </w:p>
    <w:p w14:paraId="61B25953" w14:textId="77777777" w:rsidR="003F5172" w:rsidRDefault="003F5172" w:rsidP="003F5172">
      <w:pPr>
        <w:rPr>
          <w:lang w:val="uk-UA"/>
        </w:rPr>
      </w:pPr>
    </w:p>
    <w:p w14:paraId="1219A1FE" w14:textId="77777777" w:rsidR="003F5172" w:rsidRDefault="003F5172" w:rsidP="003F5172">
      <w:pPr>
        <w:rPr>
          <w:lang w:val="uk-UA"/>
        </w:rPr>
      </w:pPr>
    </w:p>
    <w:p w14:paraId="7C6842C5" w14:textId="77777777" w:rsidR="003F5172" w:rsidRDefault="003F5172" w:rsidP="003F5172">
      <w:pPr>
        <w:rPr>
          <w:lang w:val="uk-UA"/>
        </w:rPr>
      </w:pPr>
    </w:p>
    <w:p w14:paraId="46D673EE" w14:textId="77777777" w:rsidR="003F5172" w:rsidRDefault="003F5172" w:rsidP="003F5172">
      <w:pPr>
        <w:rPr>
          <w:lang w:val="uk-UA"/>
        </w:rPr>
      </w:pPr>
    </w:p>
    <w:p w14:paraId="2C2A4EC0" w14:textId="77777777" w:rsidR="003F5172" w:rsidRDefault="003F5172" w:rsidP="003F5172">
      <w:pPr>
        <w:rPr>
          <w:lang w:val="uk-UA"/>
        </w:rPr>
      </w:pPr>
    </w:p>
    <w:p w14:paraId="6E1BD4B1" w14:textId="77777777" w:rsidR="003F5172" w:rsidRDefault="003F5172" w:rsidP="003F5172">
      <w:pPr>
        <w:rPr>
          <w:lang w:val="uk-UA"/>
        </w:rPr>
      </w:pPr>
    </w:p>
    <w:p w14:paraId="3CBB8C4D" w14:textId="77777777" w:rsidR="003F5172" w:rsidRDefault="003F5172" w:rsidP="003F5172">
      <w:pPr>
        <w:rPr>
          <w:lang w:val="uk-UA"/>
        </w:rPr>
      </w:pPr>
    </w:p>
    <w:p w14:paraId="02024583" w14:textId="77777777" w:rsidR="003F5172" w:rsidRDefault="003F5172" w:rsidP="003F5172">
      <w:pPr>
        <w:rPr>
          <w:lang w:val="uk-UA"/>
        </w:rPr>
      </w:pPr>
    </w:p>
    <w:p w14:paraId="2C315668" w14:textId="77777777" w:rsidR="003F5172" w:rsidRDefault="003F5172" w:rsidP="003F5172">
      <w:pPr>
        <w:rPr>
          <w:lang w:val="uk-UA"/>
        </w:rPr>
      </w:pPr>
    </w:p>
    <w:p w14:paraId="3ED1087C" w14:textId="23D41C26" w:rsidR="00116CA9" w:rsidRPr="006970C9" w:rsidRDefault="003F5172" w:rsidP="00893A19">
      <w:pPr>
        <w:tabs>
          <w:tab w:val="left" w:pos="1418"/>
        </w:tabs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sectPr w:rsidR="00116CA9" w:rsidRPr="006970C9" w:rsidSect="00893A1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9D101BD"/>
    <w:multiLevelType w:val="multilevel"/>
    <w:tmpl w:val="DB3076E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33EC9"/>
    <w:rsid w:val="000428E0"/>
    <w:rsid w:val="00044F2B"/>
    <w:rsid w:val="00052A47"/>
    <w:rsid w:val="0007279F"/>
    <w:rsid w:val="00094BF1"/>
    <w:rsid w:val="000B4046"/>
    <w:rsid w:val="000F2248"/>
    <w:rsid w:val="00107D23"/>
    <w:rsid w:val="00116CA9"/>
    <w:rsid w:val="00122DB7"/>
    <w:rsid w:val="0013017D"/>
    <w:rsid w:val="00147294"/>
    <w:rsid w:val="00173A4D"/>
    <w:rsid w:val="00183618"/>
    <w:rsid w:val="00184314"/>
    <w:rsid w:val="001A248D"/>
    <w:rsid w:val="001A4CBD"/>
    <w:rsid w:val="001C05EE"/>
    <w:rsid w:val="001C3D43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465F6"/>
    <w:rsid w:val="00266274"/>
    <w:rsid w:val="00280BB3"/>
    <w:rsid w:val="002B4775"/>
    <w:rsid w:val="002C3A05"/>
    <w:rsid w:val="00303F7D"/>
    <w:rsid w:val="0031500C"/>
    <w:rsid w:val="00331DDA"/>
    <w:rsid w:val="00346DFB"/>
    <w:rsid w:val="00352EBE"/>
    <w:rsid w:val="0035686B"/>
    <w:rsid w:val="00380554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33D0D"/>
    <w:rsid w:val="0054177C"/>
    <w:rsid w:val="00543850"/>
    <w:rsid w:val="00547E4D"/>
    <w:rsid w:val="00552F9F"/>
    <w:rsid w:val="00553906"/>
    <w:rsid w:val="005661B6"/>
    <w:rsid w:val="00572B5F"/>
    <w:rsid w:val="0057592A"/>
    <w:rsid w:val="00591D13"/>
    <w:rsid w:val="00592ED2"/>
    <w:rsid w:val="005969E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970C9"/>
    <w:rsid w:val="006B4183"/>
    <w:rsid w:val="006B438F"/>
    <w:rsid w:val="006C75A9"/>
    <w:rsid w:val="006D2598"/>
    <w:rsid w:val="006F6DEC"/>
    <w:rsid w:val="00730E06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4629"/>
    <w:rsid w:val="008502FC"/>
    <w:rsid w:val="008613AA"/>
    <w:rsid w:val="00871C75"/>
    <w:rsid w:val="008822D5"/>
    <w:rsid w:val="00893A19"/>
    <w:rsid w:val="00897D9A"/>
    <w:rsid w:val="008A1FF8"/>
    <w:rsid w:val="008B52C9"/>
    <w:rsid w:val="008B7593"/>
    <w:rsid w:val="008D7EC2"/>
    <w:rsid w:val="008E7B7B"/>
    <w:rsid w:val="008F0153"/>
    <w:rsid w:val="0091223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E06B5"/>
    <w:rsid w:val="009E4962"/>
    <w:rsid w:val="00A0451E"/>
    <w:rsid w:val="00A04CE1"/>
    <w:rsid w:val="00A24122"/>
    <w:rsid w:val="00A63C85"/>
    <w:rsid w:val="00A641C4"/>
    <w:rsid w:val="00A9190C"/>
    <w:rsid w:val="00AA4004"/>
    <w:rsid w:val="00AC2989"/>
    <w:rsid w:val="00B04CA3"/>
    <w:rsid w:val="00B06401"/>
    <w:rsid w:val="00B76DE8"/>
    <w:rsid w:val="00B93913"/>
    <w:rsid w:val="00B96F34"/>
    <w:rsid w:val="00BA51D1"/>
    <w:rsid w:val="00BA785F"/>
    <w:rsid w:val="00BF3853"/>
    <w:rsid w:val="00C03DD5"/>
    <w:rsid w:val="00C16883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D0CF1"/>
    <w:rsid w:val="00CF03AE"/>
    <w:rsid w:val="00D114C8"/>
    <w:rsid w:val="00D235BA"/>
    <w:rsid w:val="00D23CD6"/>
    <w:rsid w:val="00D62BED"/>
    <w:rsid w:val="00D66C28"/>
    <w:rsid w:val="00D9379C"/>
    <w:rsid w:val="00D94E21"/>
    <w:rsid w:val="00D951B8"/>
    <w:rsid w:val="00DA165A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28FC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EB5DB9"/>
    <w:rsid w:val="00F03870"/>
    <w:rsid w:val="00F211E5"/>
    <w:rsid w:val="00F373FC"/>
    <w:rsid w:val="00F46C5E"/>
    <w:rsid w:val="00F47C20"/>
    <w:rsid w:val="00F5450B"/>
    <w:rsid w:val="00F574BA"/>
    <w:rsid w:val="00F637D5"/>
    <w:rsid w:val="00F759B6"/>
    <w:rsid w:val="00F827F8"/>
    <w:rsid w:val="00F86ED8"/>
    <w:rsid w:val="00FA1D2A"/>
    <w:rsid w:val="00FD1448"/>
    <w:rsid w:val="00FD14A6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99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3551-12" TargetMode="External"/><Relationship Id="rId13" Type="http://schemas.openxmlformats.org/officeDocument/2006/relationships/hyperlink" Target="http://zakon2.rada.gov.ua/laws/show/2402-14" TargetMode="External"/><Relationship Id="rId18" Type="http://schemas.openxmlformats.org/officeDocument/2006/relationships/hyperlink" Target="http://zakon3.rada.gov.ua/laws/show/176-97-%D0%BF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344-14" TargetMode="External"/><Relationship Id="rId12" Type="http://schemas.openxmlformats.org/officeDocument/2006/relationships/hyperlink" Target="http://zakon5.rada.gov.ua/laws/show/962-12" TargetMode="External"/><Relationship Id="rId17" Type="http://schemas.openxmlformats.org/officeDocument/2006/relationships/hyperlink" Target="http://zakon3.rada.gov.ua/laws/show/226-94-%D0%B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akon2.rada.gov.ua/laws/show/555-94-%D0%B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zakon2.rada.gov.ua/laws/show/2456-17" TargetMode="External"/><Relationship Id="rId11" Type="http://schemas.openxmlformats.org/officeDocument/2006/relationships/hyperlink" Target="http://zakon2.rada.gov.ua/laws/show/2011-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354-93-%D0%BF" TargetMode="External"/><Relationship Id="rId10" Type="http://schemas.openxmlformats.org/officeDocument/2006/relationships/hyperlink" Target="http://zakon5.rada.gov.ua/laws/show/875-12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796-12" TargetMode="External"/><Relationship Id="rId14" Type="http://schemas.openxmlformats.org/officeDocument/2006/relationships/hyperlink" Target="http://zakon2.rada.gov.ua/laws/show/203/98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0E59F-DCFE-4421-8F8F-3E308A11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5084</Words>
  <Characters>2898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33</cp:revision>
  <cp:lastPrinted>2019-01-16T13:52:00Z</cp:lastPrinted>
  <dcterms:created xsi:type="dcterms:W3CDTF">2023-02-21T12:54:00Z</dcterms:created>
  <dcterms:modified xsi:type="dcterms:W3CDTF">2023-03-02T07:37:00Z</dcterms:modified>
</cp:coreProperties>
</file>